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63AD5">
      <w:pPr>
        <w:rPr>
          <w:rFonts w:hint="eastAsia" w:ascii="黑体" w:hAnsi="黑体" w:eastAsia="黑体"/>
          <w:sz w:val="32"/>
          <w:szCs w:val="32"/>
        </w:rPr>
      </w:pPr>
    </w:p>
    <w:p w14:paraId="6E4BD26C">
      <w:pPr>
        <w:jc w:val="center"/>
        <w:rPr>
          <w:rFonts w:hint="eastAsia" w:ascii="方正小标宋_GBK" w:hAnsi="宋体" w:eastAsia="方正小标宋_GBK"/>
          <w:sz w:val="44"/>
          <w:szCs w:val="44"/>
        </w:rPr>
      </w:pPr>
    </w:p>
    <w:p w14:paraId="51A1098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中共木垒哈萨克自治县委员会党史和</w:t>
      </w:r>
    </w:p>
    <w:p w14:paraId="067266F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文献研究室2023年度部门决算</w:t>
      </w:r>
    </w:p>
    <w:p w14:paraId="6DE5E28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730677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6FDA44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B94418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1A212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1BB4F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9DA555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80876B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7C041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59203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DA73F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43E24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EFC849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87677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CADF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8E80DA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960F7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8055F9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1312AB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640F99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5B4BF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233956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FF7740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329E6D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9897A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A2C99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C02DA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4822F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171EC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A9CEA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0D13C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60CFCD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B4D65A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340A5EE">
      <w:r>
        <w:rPr>
          <w:rFonts w:hint="eastAsia" w:ascii="仿宋_GB2312" w:hAnsi="仿宋_GB2312" w:eastAsia="仿宋_GB2312" w:cs="仿宋_GB2312"/>
          <w:sz w:val="32"/>
          <w:szCs w:val="32"/>
        </w:rPr>
        <w:fldChar w:fldCharType="end"/>
      </w:r>
    </w:p>
    <w:p w14:paraId="122A9081">
      <w:pPr>
        <w:rPr>
          <w:rFonts w:ascii="仿宋_GB2312" w:eastAsia="仿宋_GB2312"/>
          <w:sz w:val="32"/>
          <w:szCs w:val="32"/>
        </w:rPr>
      </w:pPr>
      <w:r>
        <w:rPr>
          <w:rFonts w:hint="eastAsia" w:ascii="仿宋_GB2312" w:eastAsia="仿宋_GB2312"/>
          <w:sz w:val="32"/>
          <w:szCs w:val="32"/>
        </w:rPr>
        <w:br w:type="page"/>
      </w:r>
    </w:p>
    <w:p w14:paraId="05F64DDA">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5156562">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0DF3B7E">
      <w:pPr>
        <w:ind w:firstLine="640" w:firstLineChars="200"/>
        <w:jc w:val="left"/>
        <w:rPr>
          <w:rFonts w:ascii="仿宋_GB2312" w:eastAsia="仿宋_GB2312"/>
          <w:sz w:val="32"/>
          <w:szCs w:val="32"/>
        </w:rPr>
      </w:pPr>
      <w:r>
        <w:rPr>
          <w:rFonts w:hint="eastAsia" w:ascii="仿宋_GB2312" w:eastAsia="仿宋_GB2312"/>
          <w:sz w:val="32"/>
          <w:szCs w:val="32"/>
        </w:rPr>
        <w:t>木垒县委党史和文献研究室主要负责全县党史工作，制定木垒县党史工作总体规划；开展党史研究，征集、整理、</w:t>
      </w:r>
      <w:r>
        <w:rPr>
          <w:rFonts w:hint="eastAsia" w:ascii="仿宋_GB2312" w:eastAsia="仿宋_GB2312"/>
          <w:sz w:val="32"/>
          <w:szCs w:val="32"/>
          <w:lang w:eastAsia="zh-CN"/>
        </w:rPr>
        <w:t>编纂</w:t>
      </w:r>
      <w:r>
        <w:rPr>
          <w:rFonts w:hint="eastAsia" w:ascii="仿宋_GB2312" w:eastAsia="仿宋_GB2312"/>
          <w:sz w:val="32"/>
          <w:szCs w:val="32"/>
        </w:rPr>
        <w:t>木垒县地方党史资料、党史大事记、组织编写《中共木垒县委简史》，编辑出版重要党史书刊；承担区、州党史研究室、县委党史工作领导小组交办的工作，为县委解决有关问题提供历史资料和意见；开展党史学习教育、党史宣传工作，运用党史资料和研究成果，为木垒县的改革开放和现代化建设服务；负责全县的地方志工作，制定木垒县地方志工作的总体规划，负责组织、检查、指导专业志书的编修、续修工作；负责征集、研究木垒县地方志资料，编修、续修《奇合县志》和有关地情资料，为《新疆年鉴</w:t>
      </w:r>
      <w:r>
        <w:rPr>
          <w:rFonts w:hint="eastAsia" w:ascii="仿宋_GB2312" w:eastAsia="仿宋_GB2312"/>
          <w:sz w:val="32"/>
          <w:szCs w:val="32"/>
          <w:lang w:eastAsia="zh-CN"/>
        </w:rPr>
        <w:t>》《</w:t>
      </w:r>
      <w:r>
        <w:rPr>
          <w:rFonts w:hint="eastAsia" w:ascii="仿宋_GB2312" w:eastAsia="仿宋_GB2312"/>
          <w:sz w:val="32"/>
          <w:szCs w:val="32"/>
        </w:rPr>
        <w:t>昌吉年鉴》提供木垒县地情资料，编辑出版《木垒年鉴》；根据国家和自治区、州地方志工作的</w:t>
      </w:r>
      <w:r>
        <w:rPr>
          <w:rFonts w:hint="eastAsia" w:ascii="仿宋_GB2312" w:eastAsia="仿宋_GB2312"/>
          <w:sz w:val="32"/>
          <w:szCs w:val="32"/>
          <w:lang w:eastAsia="zh-CN"/>
        </w:rPr>
        <w:t>法律法规</w:t>
      </w:r>
      <w:r>
        <w:rPr>
          <w:rFonts w:hint="eastAsia" w:ascii="仿宋_GB2312" w:eastAsia="仿宋_GB2312"/>
          <w:sz w:val="32"/>
          <w:szCs w:val="32"/>
        </w:rPr>
        <w:t>、规章，制定木垒县修志工作的实施办法；负责专业志的审定、检查、指导、验收、出版工作，指导社会用志，收集、整理旧志。</w:t>
      </w:r>
    </w:p>
    <w:p w14:paraId="7EFA10E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A67A711">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中共木垒哈萨克自治县委员会党史和文献研究室2023年度，实有人数</w:t>
      </w:r>
      <w:r>
        <w:rPr>
          <w:rFonts w:hint="eastAsia" w:ascii="仿宋_GB2312" w:eastAsia="仿宋_GB2312"/>
          <w:sz w:val="32"/>
          <w:szCs w:val="32"/>
          <w:lang w:val="zh-CN"/>
        </w:rPr>
        <w:t>15</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8</w:t>
      </w:r>
      <w:r>
        <w:rPr>
          <w:rFonts w:hint="eastAsia" w:ascii="仿宋_GB2312" w:eastAsia="仿宋_GB2312"/>
          <w:sz w:val="32"/>
          <w:szCs w:val="32"/>
        </w:rPr>
        <w:t>人。</w:t>
      </w:r>
    </w:p>
    <w:p w14:paraId="55BF25A8">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14:paraId="528522F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89C1E33">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783F5FA5">
      <w:pPr>
        <w:ind w:firstLine="640" w:firstLineChars="200"/>
        <w:rPr>
          <w:rFonts w:ascii="仿宋_GB2312" w:eastAsia="仿宋_GB2312"/>
          <w:sz w:val="32"/>
          <w:szCs w:val="32"/>
        </w:rPr>
      </w:pPr>
      <w:r>
        <w:rPr>
          <w:rFonts w:hint="eastAsia" w:ascii="仿宋_GB2312" w:eastAsia="仿宋_GB2312"/>
          <w:sz w:val="32"/>
          <w:szCs w:val="32"/>
        </w:rPr>
        <w:t>2023年度收入总计118.24万元，其中：本年收入合计118.24万元，使用非财政拨款结余0.00万元，年初结转和结余0.00万元。</w:t>
      </w:r>
    </w:p>
    <w:p w14:paraId="324523F8">
      <w:pPr>
        <w:ind w:firstLine="640" w:firstLineChars="200"/>
        <w:rPr>
          <w:rFonts w:ascii="仿宋_GB2312" w:eastAsia="仿宋_GB2312"/>
          <w:sz w:val="32"/>
          <w:szCs w:val="32"/>
        </w:rPr>
      </w:pPr>
      <w:r>
        <w:rPr>
          <w:rFonts w:hint="eastAsia" w:ascii="仿宋_GB2312" w:eastAsia="仿宋_GB2312"/>
          <w:sz w:val="32"/>
          <w:szCs w:val="32"/>
        </w:rPr>
        <w:t>2023年度支出总计118.24万元，其中：本年支出合计118.24万元，结余分配0.00万元，年末结转和结余0.00万元。</w:t>
      </w:r>
    </w:p>
    <w:p w14:paraId="2181B1A5">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增加23.32万元</w:t>
      </w:r>
      <w:r>
        <w:rPr>
          <w:rFonts w:hint="eastAsia" w:ascii="仿宋_GB2312" w:eastAsia="仿宋_GB2312"/>
          <w:sz w:val="32"/>
          <w:szCs w:val="32"/>
        </w:rPr>
        <w:t>，增长24.57%，主要原因是：本年单位人员增加，人员工资、津补贴等人员经费较上年增加。</w:t>
      </w:r>
    </w:p>
    <w:p w14:paraId="0788C489">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4E87B16">
      <w:pPr>
        <w:ind w:firstLine="640" w:firstLineChars="200"/>
        <w:rPr>
          <w:rFonts w:ascii="仿宋_GB2312" w:eastAsia="仿宋_GB2312"/>
          <w:sz w:val="32"/>
          <w:szCs w:val="32"/>
        </w:rPr>
      </w:pPr>
      <w:r>
        <w:rPr>
          <w:rFonts w:hint="eastAsia" w:ascii="仿宋_GB2312" w:eastAsia="仿宋_GB2312"/>
          <w:sz w:val="32"/>
          <w:szCs w:val="32"/>
        </w:rPr>
        <w:t>本年收入118.24万元，其中：财政拨款收入118.24万元，占100.00%；上级补助收入0.00万元，占0.00%；事业收入0.00万元，占0.00%；经营收入0.00万元，占0.00%；附属单位上缴收入0.00万元，占0.00%；其他收入0.00万元，占0.00%。</w:t>
      </w:r>
    </w:p>
    <w:p w14:paraId="05C6C121">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4EBC310">
      <w:pPr>
        <w:ind w:firstLine="640" w:firstLineChars="200"/>
        <w:rPr>
          <w:rFonts w:ascii="仿宋_GB2312" w:eastAsia="仿宋_GB2312"/>
          <w:sz w:val="32"/>
          <w:szCs w:val="32"/>
        </w:rPr>
      </w:pPr>
      <w:r>
        <w:rPr>
          <w:rFonts w:hint="eastAsia" w:ascii="仿宋_GB2312" w:eastAsia="仿宋_GB2312"/>
          <w:sz w:val="32"/>
          <w:szCs w:val="32"/>
        </w:rPr>
        <w:t>本年支出118.24万元，其中：基本支出118.24万元，占100.00%；项目支出0.00万元，占0.00%；上缴上级支出0.00万元，占0.00%；经营支出0.00万元，占0.00%；对附属单位补助支出0.00万元，占0.00%。</w:t>
      </w:r>
    </w:p>
    <w:p w14:paraId="53A71FDE">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D7E666F">
      <w:pPr>
        <w:ind w:firstLine="640" w:firstLineChars="200"/>
        <w:rPr>
          <w:rFonts w:ascii="仿宋_GB2312" w:eastAsia="仿宋_GB2312"/>
          <w:sz w:val="32"/>
          <w:szCs w:val="32"/>
        </w:rPr>
      </w:pPr>
      <w:r>
        <w:rPr>
          <w:rFonts w:hint="eastAsia" w:ascii="仿宋_GB2312" w:eastAsia="仿宋_GB2312"/>
          <w:sz w:val="32"/>
          <w:szCs w:val="32"/>
        </w:rPr>
        <w:t>2023年度财政拨款收入总计118.24万元，其中：年初财政拨款结转和结余0.00万元，本年财政拨款收入118.24万元。财政拨款支出总计118.24万元，其中：年末财政拨款结转和结余0.00万元，本年财政拨款支出118.24万元。</w:t>
      </w:r>
    </w:p>
    <w:p w14:paraId="052C818D">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23.32万元，增长24.57%,主要原因是：本年单位人员增加，人员工资、津补贴等人员经费较上年增加。与年初预算相比，年初预算数116.52万元，决算数118.24万元，预决算差异率1.48%，主要原因是：单位人员增加，年中追加人员工资、津补贴等人员经费。</w:t>
      </w:r>
    </w:p>
    <w:p w14:paraId="1772ADCE">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582786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952B71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118.24万元，占本年支出合计的100.00%。与上年相比，增加23.32万元，增长24.57%,主要原因是：本年单位人员增加，人员工资、津补贴等人员经费较上年增加。与年初预算相比，年初预算数116.52万元，决算数118.24万元，预决算差异率1.48%，主要原因是：单位人员增加，年中追加人员工资、津补贴等人员经费。</w:t>
      </w:r>
    </w:p>
    <w:p w14:paraId="1547418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9AAA7A5">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96.73</w:t>
      </w:r>
      <w:r>
        <w:rPr>
          <w:rFonts w:ascii="仿宋_GB2312" w:eastAsia="仿宋_GB2312"/>
          <w:sz w:val="32"/>
          <w:szCs w:val="32"/>
        </w:rPr>
        <w:t>万元，占</w:t>
      </w:r>
      <w:r>
        <w:rPr>
          <w:rFonts w:hint="eastAsia" w:ascii="仿宋_GB2312" w:eastAsia="仿宋_GB2312"/>
          <w:sz w:val="32"/>
          <w:szCs w:val="32"/>
        </w:rPr>
        <w:t>81.81</w:t>
      </w:r>
      <w:r>
        <w:rPr>
          <w:rFonts w:ascii="仿宋_GB2312" w:eastAsia="仿宋_GB2312"/>
          <w:sz w:val="32"/>
          <w:szCs w:val="32"/>
        </w:rPr>
        <w:t>%；</w:t>
      </w:r>
    </w:p>
    <w:p w14:paraId="52EE5495">
      <w:pPr>
        <w:ind w:firstLine="640" w:firstLineChars="200"/>
        <w:rPr>
          <w:rFonts w:ascii="仿宋_GB2312" w:eastAsia="仿宋_GB2312"/>
          <w:sz w:val="32"/>
          <w:szCs w:val="32"/>
        </w:rPr>
      </w:pPr>
      <w:r>
        <w:rPr>
          <w:rFonts w:ascii="仿宋_GB2312" w:eastAsia="仿宋_GB2312"/>
          <w:sz w:val="32"/>
          <w:szCs w:val="32"/>
        </w:rPr>
        <w:t>2.社会保障和就业支出（类）</w:t>
      </w:r>
      <w:r>
        <w:rPr>
          <w:rFonts w:hint="eastAsia" w:ascii="仿宋_GB2312" w:eastAsia="仿宋_GB2312"/>
          <w:sz w:val="32"/>
          <w:szCs w:val="32"/>
        </w:rPr>
        <w:t>13.29</w:t>
      </w:r>
      <w:r>
        <w:rPr>
          <w:rFonts w:ascii="仿宋_GB2312" w:eastAsia="仿宋_GB2312"/>
          <w:sz w:val="32"/>
          <w:szCs w:val="32"/>
        </w:rPr>
        <w:t>万元，占</w:t>
      </w:r>
      <w:r>
        <w:rPr>
          <w:rFonts w:hint="eastAsia" w:ascii="仿宋_GB2312" w:eastAsia="仿宋_GB2312"/>
          <w:sz w:val="32"/>
          <w:szCs w:val="32"/>
        </w:rPr>
        <w:t>11.24</w:t>
      </w:r>
      <w:r>
        <w:rPr>
          <w:rFonts w:ascii="仿宋_GB2312" w:eastAsia="仿宋_GB2312"/>
          <w:sz w:val="32"/>
          <w:szCs w:val="32"/>
        </w:rPr>
        <w:t>%；</w:t>
      </w:r>
    </w:p>
    <w:p w14:paraId="1C2FCAB2">
      <w:pPr>
        <w:ind w:firstLine="640" w:firstLineChars="200"/>
        <w:rPr>
          <w:rFonts w:ascii="仿宋_GB2312" w:eastAsia="仿宋_GB2312"/>
          <w:sz w:val="32"/>
          <w:szCs w:val="32"/>
        </w:rPr>
      </w:pPr>
      <w:r>
        <w:rPr>
          <w:rFonts w:ascii="仿宋_GB2312" w:eastAsia="仿宋_GB2312"/>
          <w:sz w:val="32"/>
          <w:szCs w:val="32"/>
        </w:rPr>
        <w:t>3.住房保障支出（类）</w:t>
      </w:r>
      <w:r>
        <w:rPr>
          <w:rFonts w:hint="eastAsia" w:ascii="仿宋_GB2312" w:eastAsia="仿宋_GB2312"/>
          <w:sz w:val="32"/>
          <w:szCs w:val="32"/>
        </w:rPr>
        <w:t>8.22</w:t>
      </w:r>
      <w:r>
        <w:rPr>
          <w:rFonts w:ascii="仿宋_GB2312" w:eastAsia="仿宋_GB2312"/>
          <w:sz w:val="32"/>
          <w:szCs w:val="32"/>
        </w:rPr>
        <w:t>万元，占</w:t>
      </w:r>
      <w:r>
        <w:rPr>
          <w:rFonts w:hint="eastAsia" w:ascii="仿宋_GB2312" w:eastAsia="仿宋_GB2312"/>
          <w:sz w:val="32"/>
          <w:szCs w:val="32"/>
        </w:rPr>
        <w:t>6.95</w:t>
      </w:r>
      <w:r>
        <w:rPr>
          <w:rFonts w:ascii="仿宋_GB2312" w:eastAsia="仿宋_GB2312"/>
          <w:sz w:val="32"/>
          <w:szCs w:val="32"/>
        </w:rPr>
        <w:t>%</w:t>
      </w:r>
      <w:r>
        <w:rPr>
          <w:rFonts w:hint="eastAsia" w:ascii="仿宋_GB2312" w:eastAsia="仿宋_GB2312"/>
          <w:sz w:val="32"/>
          <w:szCs w:val="32"/>
        </w:rPr>
        <w:t>。</w:t>
      </w:r>
    </w:p>
    <w:p w14:paraId="707FDE1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477E082">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1.住房保障支出（类）住房改革支出（款）住房公积金（项）:支出决算数为8.22万元，比上年决算增加2.17万元，增长35.87%，主要原因是：本年单位人员增加，人员住房公积金缴费增加。</w:t>
      </w:r>
    </w:p>
    <w:p w14:paraId="35ECD86F">
      <w:pPr>
        <w:ind w:firstLine="640" w:firstLineChars="200"/>
        <w:rPr>
          <w:rFonts w:ascii="仿宋_GB2312" w:eastAsia="仿宋_GB2312"/>
          <w:sz w:val="32"/>
          <w:szCs w:val="32"/>
        </w:rPr>
      </w:pPr>
      <w:r>
        <w:rPr>
          <w:rFonts w:hint="eastAsia" w:ascii="仿宋_GB2312" w:eastAsia="仿宋_GB2312"/>
          <w:sz w:val="32"/>
          <w:szCs w:val="32"/>
        </w:rPr>
        <w:t>2.一般公共服务支出（类）党委办公厅（室）及相关机构事务（款）行政运行（项）:支出决算数为96.73万元，比上年决算增加17.79万元，增长22.54%，主要原因是：本年单位人员增加，人员工资、津补贴等人员经费较上年增加。</w:t>
      </w:r>
    </w:p>
    <w:p w14:paraId="5A37E1E1">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行政单位离退休（项）:支出决算数为2.66万元，比上年决算增加1.10万元，增长70.51%，主要原因是：本年单位退休人员增加，退休人员取暖费、独生子女奖励金等增加。</w:t>
      </w:r>
    </w:p>
    <w:p w14:paraId="2CE1607D">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基本养老保险缴费支出（项）:支出决算数为10.63万元，比上年决算增加2.93万元，增长38.05%，主要原因是：本年单位人员增加，养老保险缴费增加。</w:t>
      </w:r>
    </w:p>
    <w:p w14:paraId="5D3F5687">
      <w:pPr>
        <w:ind w:firstLine="640" w:firstLineChars="200"/>
        <w:rPr>
          <w:rFonts w:ascii="仿宋_GB2312" w:eastAsia="仿宋_GB2312"/>
          <w:sz w:val="32"/>
          <w:szCs w:val="32"/>
        </w:rPr>
      </w:pPr>
      <w:r>
        <w:rPr>
          <w:rFonts w:hint="eastAsia" w:ascii="仿宋_GB2312" w:eastAsia="仿宋_GB2312"/>
          <w:sz w:val="32"/>
          <w:szCs w:val="32"/>
        </w:rPr>
        <w:t>5.其他支出（类）其他支出（款）其他支出（项）:支出决算数为0.00万元，比上年决算减少0.67万元，下降100%，主要原因是：单位科目调整，本年此科目减少</w:t>
      </w:r>
      <w:r>
        <w:rPr>
          <w:rFonts w:hint="eastAsia" w:ascii="仿宋_GB2312" w:eastAsia="仿宋_GB2312"/>
          <w:sz w:val="32"/>
          <w:szCs w:val="32"/>
          <w:lang w:val="en-US" w:eastAsia="zh-CN"/>
        </w:rPr>
        <w:t>发放</w:t>
      </w:r>
      <w:r>
        <w:rPr>
          <w:rFonts w:hint="eastAsia" w:ascii="仿宋_GB2312" w:eastAsia="仿宋_GB2312"/>
          <w:sz w:val="32"/>
          <w:szCs w:val="32"/>
        </w:rPr>
        <w:t>人员津贴补贴</w:t>
      </w:r>
      <w:r>
        <w:rPr>
          <w:rFonts w:hint="eastAsia" w:ascii="仿宋_GB2312" w:eastAsia="仿宋_GB2312"/>
          <w:sz w:val="32"/>
          <w:szCs w:val="32"/>
          <w:lang w:val="en-US" w:eastAsia="zh-CN"/>
        </w:rPr>
        <w:t>经费</w:t>
      </w:r>
      <w:r>
        <w:rPr>
          <w:rFonts w:hint="eastAsia" w:ascii="仿宋_GB2312" w:eastAsia="仿宋_GB2312"/>
          <w:sz w:val="32"/>
          <w:szCs w:val="32"/>
        </w:rPr>
        <w:t>。</w:t>
      </w:r>
    </w:p>
    <w:p w14:paraId="61E75EF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43244F5">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118.24万元，其中：人员经费111.39万元，包括：基本工资、津贴补贴、奖金、机关事业单位基本养老保险缴费、职工基本医疗保险缴费、公务员医疗补助缴费、其他社会保障缴费、住房公积金、其他工资福利支出、退休费、奖励金、其他对个人和家庭的补助。</w:t>
      </w:r>
    </w:p>
    <w:p w14:paraId="178C12B8">
      <w:pPr>
        <w:ind w:firstLine="640" w:firstLineChars="200"/>
        <w:rPr>
          <w:rFonts w:ascii="仿宋_GB2312" w:eastAsia="仿宋_GB2312"/>
          <w:sz w:val="32"/>
          <w:szCs w:val="32"/>
        </w:rPr>
      </w:pPr>
      <w:r>
        <w:rPr>
          <w:rFonts w:hint="eastAsia" w:ascii="仿宋_GB2312" w:eastAsia="仿宋_GB2312"/>
          <w:sz w:val="32"/>
          <w:szCs w:val="32"/>
        </w:rPr>
        <w:t>公用经费6.85万元，包括：办公费、水费、邮电费、取暖费。</w:t>
      </w:r>
    </w:p>
    <w:p w14:paraId="73B6DAA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8EF599D">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本年无此项经费。其中：因公出国（境）费支出0.00万元，占0.00%，比上年增加0.00万元，增长0.00%,主要原因是：本年无此项经费；公务用车购置及运行维护费支出0.00万元，占0.00%，比上年增加0.00万元，增长0.00%,主要原因是：本年无此项经费；公务接待费支出0.00万元，占0.00%，比上年增加0.00万元，增长0.00%,主要原因是：本年无此项经费。</w:t>
      </w:r>
    </w:p>
    <w:p w14:paraId="214DBC2C">
      <w:pPr>
        <w:ind w:firstLine="640" w:firstLineChars="200"/>
        <w:rPr>
          <w:rFonts w:ascii="仿宋_GB2312" w:eastAsia="仿宋_GB2312"/>
          <w:sz w:val="32"/>
          <w:szCs w:val="32"/>
        </w:rPr>
      </w:pPr>
      <w:r>
        <w:rPr>
          <w:rFonts w:hint="eastAsia" w:ascii="仿宋_GB2312" w:eastAsia="仿宋_GB2312"/>
          <w:sz w:val="32"/>
          <w:szCs w:val="32"/>
        </w:rPr>
        <w:t>具体情况如下：</w:t>
      </w:r>
    </w:p>
    <w:p w14:paraId="3E38992F">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因公出国（境）费支出0.00万元，开支内容包括本年无此项经费。单位全年安排的因公出国（境）团组0个，因公出国（境）0人次。</w:t>
      </w:r>
    </w:p>
    <w:p w14:paraId="1C597891">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本年无此项经费。公务用车购置数0辆，公务用车保有量0辆。国有资产占用情况中固定资产车辆1辆，与公务用车保有量差异原因是：差异车辆为1辆，属于业务用车，未使用财政拨款公务用车运行维护费。</w:t>
      </w:r>
    </w:p>
    <w:p w14:paraId="2F731A02">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公务接待费0.00万元，开支内容包括本年无此项经费。单位全年安排的国内公务接待0批次，0人次。</w:t>
      </w:r>
    </w:p>
    <w:p w14:paraId="6DB99591">
      <w:pPr>
        <w:ind w:firstLine="640" w:firstLineChars="200"/>
        <w:rPr>
          <w:rFonts w:ascii="仿宋_GB2312" w:eastAsia="仿宋_GB2312"/>
          <w:sz w:val="32"/>
          <w:szCs w:val="32"/>
        </w:rPr>
      </w:pPr>
      <w:r>
        <w:rPr>
          <w:rFonts w:hint="eastAsia" w:ascii="仿宋_GB2312" w:eastAsia="仿宋_GB2312"/>
          <w:sz w:val="32"/>
          <w:szCs w:val="32"/>
        </w:rPr>
        <w:t>与全年预算相比</w:t>
      </w:r>
      <w:bookmarkStart w:id="48" w:name="_GoBack"/>
      <w:r>
        <w:rPr>
          <w:rFonts w:hint="eastAsia" w:ascii="仿宋_GB2312" w:eastAsia="仿宋_GB2312"/>
          <w:sz w:val="32"/>
          <w:szCs w:val="32"/>
        </w:rPr>
        <w:t>,</w:t>
      </w:r>
      <w:bookmarkEnd w:id="48"/>
      <w:r>
        <w:rPr>
          <w:rFonts w:hint="eastAsia" w:ascii="仿宋_GB2312" w:eastAsia="仿宋_GB2312"/>
          <w:sz w:val="32"/>
          <w:szCs w:val="32"/>
        </w:rPr>
        <w:t>财政拨款“三公”经费支出全年预算数0.00万元，决算数0.00万元，预决算差异率0.00%，主要原因是：本年无此项经费。其中：因公出国（境）费全年预算数0.00万元，决算数0.00万元，预决算差异率0.00%，主要原因是：本年无此项经费；公务用车购置费全年预算数0.00万元，决算数0.00万元，预决算差异率0.00%，主要原因是：本年无此项经费；公务用车运行费全年预算数0.00万元，决算数0.00万元，预决算差异率0.00%，主要原因是：本年无此项经费；公务接待费全年预算数0.00万元，决算数0.00万元，预决算差异率0.00%，主要原因是：本年无此项经费。</w:t>
      </w:r>
    </w:p>
    <w:p w14:paraId="03ABC986">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05ED83E">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19AB61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747614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86A9B21">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CCE4640">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0069CDDC">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2023年度中共木垒哈萨克自治县委员会党史和文献研究室（行政单位和参照公务员法管理事业单位）机关运行经费支出6.85万元，比上年减少2.38万元，下降25.79%，主要原因是：本年单位办公费</w:t>
      </w:r>
      <w:r>
        <w:rPr>
          <w:rFonts w:hint="eastAsia" w:ascii="仿宋_GB2312" w:eastAsia="仿宋_GB2312"/>
          <w:sz w:val="32"/>
          <w:szCs w:val="32"/>
          <w:lang w:eastAsia="zh-CN"/>
        </w:rPr>
        <w:t>、</w:t>
      </w:r>
      <w:r>
        <w:rPr>
          <w:rFonts w:hint="eastAsia" w:ascii="仿宋_GB2312" w:eastAsia="仿宋_GB2312"/>
          <w:sz w:val="32"/>
          <w:szCs w:val="32"/>
        </w:rPr>
        <w:t>水费、邮电费、取暖费较上年减少。</w:t>
      </w:r>
    </w:p>
    <w:p w14:paraId="760B24C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48E8E1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0BED8EE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338EF9A6">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F0C19B8">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截至2023年12月31日，固定资产原值25.77万元，房屋0.0</w:t>
      </w:r>
      <w:r>
        <w:rPr>
          <w:rFonts w:ascii="仿宋_GB2312" w:eastAsia="仿宋_GB2312"/>
          <w:sz w:val="32"/>
          <w:szCs w:val="32"/>
        </w:rPr>
        <w:t>0</w:t>
      </w:r>
      <w:r>
        <w:rPr>
          <w:rFonts w:hint="eastAsia" w:ascii="仿宋_GB2312" w:eastAsia="仿宋_GB2312"/>
          <w:sz w:val="32"/>
          <w:szCs w:val="32"/>
        </w:rPr>
        <w:t>平方米，价值0.00万元。车辆1辆，价值13.61万元，其中：副部（省）级及以上领导用车0辆、主要负责人用车0辆、机要通信用车0辆、应急保障用车0辆、执法执勤用车0辆、特种专业技术用车0辆、离退休干部服务用车0辆、其他用车1辆，其他用车主要是：业务用车；单价100万元（含）以上设备（不含车辆）0台（套）。</w:t>
      </w:r>
    </w:p>
    <w:p w14:paraId="5E435519">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824953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118.24</w:t>
      </w:r>
      <w:r>
        <w:rPr>
          <w:rFonts w:hint="eastAsia" w:ascii="仿宋_GB2312" w:eastAsia="仿宋_GB2312"/>
          <w:sz w:val="32"/>
          <w:szCs w:val="32"/>
        </w:rPr>
        <w:t>万元，实际执行总额</w:t>
      </w:r>
      <w:r>
        <w:rPr>
          <w:rFonts w:ascii="仿宋_GB2312" w:eastAsia="仿宋_GB2312"/>
          <w:sz w:val="32"/>
          <w:szCs w:val="32"/>
        </w:rPr>
        <w:t>118.24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w:t>
      </w:r>
      <w:r>
        <w:rPr>
          <w:rFonts w:ascii="仿宋_GB2312" w:eastAsia="仿宋_GB2312"/>
          <w:sz w:val="32"/>
          <w:szCs w:val="32"/>
        </w:rPr>
        <w:t>.00</w:t>
      </w:r>
      <w:r>
        <w:rPr>
          <w:rFonts w:hint="eastAsia" w:ascii="仿宋_GB2312" w:eastAsia="仿宋_GB2312"/>
          <w:sz w:val="32"/>
          <w:szCs w:val="32"/>
        </w:rPr>
        <w:t>万元，全年执行数0</w:t>
      </w:r>
      <w:r>
        <w:rPr>
          <w:rFonts w:ascii="仿宋_GB2312" w:eastAsia="仿宋_GB2312"/>
          <w:sz w:val="32"/>
          <w:szCs w:val="32"/>
        </w:rPr>
        <w:t>.00</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二是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867"/>
        <w:gridCol w:w="1293"/>
        <w:gridCol w:w="1122"/>
        <w:gridCol w:w="1134"/>
        <w:gridCol w:w="657"/>
        <w:gridCol w:w="1179"/>
        <w:gridCol w:w="1616"/>
      </w:tblGrid>
      <w:tr w14:paraId="57AE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0E7C7556">
            <w:pPr>
              <w:ind w:firstLine="643" w:firstLineChars="200"/>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035C0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4C2A070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52D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54" w:type="dxa"/>
            <w:shd w:val="clear" w:color="auto" w:fill="auto"/>
            <w:noWrap/>
            <w:vAlign w:val="center"/>
          </w:tcPr>
          <w:p w14:paraId="7C79466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68" w:type="dxa"/>
            <w:gridSpan w:val="7"/>
            <w:shd w:val="clear" w:color="auto" w:fill="auto"/>
            <w:noWrap/>
            <w:vAlign w:val="center"/>
          </w:tcPr>
          <w:p w14:paraId="538FE88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中共木垒哈萨克自治县委员会党史和文献研究室</w:t>
            </w:r>
          </w:p>
        </w:tc>
      </w:tr>
      <w:tr w14:paraId="18F6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54" w:type="dxa"/>
            <w:vMerge w:val="restart"/>
            <w:shd w:val="clear" w:color="auto" w:fill="auto"/>
            <w:vAlign w:val="center"/>
          </w:tcPr>
          <w:p w14:paraId="3F0030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67" w:type="dxa"/>
            <w:shd w:val="clear" w:color="auto" w:fill="auto"/>
            <w:vAlign w:val="center"/>
          </w:tcPr>
          <w:p w14:paraId="054323D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93" w:type="dxa"/>
            <w:shd w:val="clear" w:color="auto" w:fill="auto"/>
            <w:vAlign w:val="center"/>
          </w:tcPr>
          <w:p w14:paraId="7BC32F1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122" w:type="dxa"/>
            <w:shd w:val="clear" w:color="auto" w:fill="auto"/>
            <w:vAlign w:val="center"/>
          </w:tcPr>
          <w:p w14:paraId="09F1AD5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34" w:type="dxa"/>
            <w:shd w:val="clear" w:color="auto" w:fill="auto"/>
            <w:vAlign w:val="center"/>
          </w:tcPr>
          <w:p w14:paraId="1792C5E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657" w:type="dxa"/>
            <w:shd w:val="clear" w:color="auto" w:fill="auto"/>
            <w:vAlign w:val="center"/>
          </w:tcPr>
          <w:p w14:paraId="74C01C9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79" w:type="dxa"/>
            <w:shd w:val="clear" w:color="auto" w:fill="auto"/>
            <w:vAlign w:val="center"/>
          </w:tcPr>
          <w:p w14:paraId="0914D01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616" w:type="dxa"/>
            <w:shd w:val="clear" w:color="auto" w:fill="auto"/>
            <w:vAlign w:val="center"/>
          </w:tcPr>
          <w:p w14:paraId="7E803EC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04241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4" w:type="dxa"/>
            <w:vMerge w:val="continue"/>
            <w:vAlign w:val="center"/>
          </w:tcPr>
          <w:p w14:paraId="330FB265">
            <w:pPr>
              <w:widowControl/>
              <w:jc w:val="left"/>
              <w:rPr>
                <w:rFonts w:hint="eastAsia" w:cs="宋体" w:asciiTheme="minorEastAsia" w:hAnsiTheme="minorEastAsia" w:eastAsiaTheme="minorEastAsia"/>
                <w:bCs/>
                <w:kern w:val="0"/>
                <w:sz w:val="20"/>
                <w:szCs w:val="20"/>
              </w:rPr>
            </w:pPr>
          </w:p>
        </w:tc>
        <w:tc>
          <w:tcPr>
            <w:tcW w:w="867" w:type="dxa"/>
            <w:shd w:val="clear" w:color="auto" w:fill="auto"/>
            <w:noWrap/>
            <w:vAlign w:val="center"/>
          </w:tcPr>
          <w:p w14:paraId="7C3BA32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93" w:type="dxa"/>
            <w:shd w:val="clear" w:color="auto" w:fill="auto"/>
            <w:vAlign w:val="center"/>
          </w:tcPr>
          <w:p w14:paraId="16EF26E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22" w:type="dxa"/>
            <w:shd w:val="clear" w:color="auto" w:fill="auto"/>
            <w:vAlign w:val="center"/>
          </w:tcPr>
          <w:p w14:paraId="6FB418A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6B22830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57" w:type="dxa"/>
            <w:shd w:val="clear" w:color="auto" w:fill="auto"/>
            <w:vAlign w:val="center"/>
          </w:tcPr>
          <w:p w14:paraId="26088A0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179" w:type="dxa"/>
            <w:shd w:val="clear" w:color="auto" w:fill="auto"/>
            <w:vAlign w:val="center"/>
          </w:tcPr>
          <w:p w14:paraId="30A38E6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616" w:type="dxa"/>
            <w:shd w:val="clear" w:color="auto" w:fill="auto"/>
            <w:vAlign w:val="center"/>
          </w:tcPr>
          <w:p w14:paraId="0D9ABBD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2F0C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4" w:type="dxa"/>
            <w:vMerge w:val="continue"/>
            <w:vAlign w:val="center"/>
          </w:tcPr>
          <w:p w14:paraId="7765EB68">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1C04F7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93" w:type="dxa"/>
            <w:shd w:val="clear" w:color="auto" w:fill="auto"/>
            <w:vAlign w:val="center"/>
          </w:tcPr>
          <w:p w14:paraId="05AA34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22" w:type="dxa"/>
            <w:shd w:val="clear" w:color="auto" w:fill="auto"/>
            <w:vAlign w:val="center"/>
          </w:tcPr>
          <w:p w14:paraId="6D9E5E3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6F91D68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57" w:type="dxa"/>
            <w:shd w:val="clear" w:color="auto" w:fill="auto"/>
            <w:vAlign w:val="center"/>
          </w:tcPr>
          <w:p w14:paraId="48DFAB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79" w:type="dxa"/>
            <w:shd w:val="clear" w:color="auto" w:fill="auto"/>
            <w:vAlign w:val="center"/>
          </w:tcPr>
          <w:p w14:paraId="47C1FD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6" w:type="dxa"/>
            <w:shd w:val="clear" w:color="auto" w:fill="auto"/>
            <w:vAlign w:val="center"/>
          </w:tcPr>
          <w:p w14:paraId="783547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0F8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4" w:type="dxa"/>
            <w:vMerge w:val="continue"/>
            <w:vAlign w:val="center"/>
          </w:tcPr>
          <w:p w14:paraId="0EFA3365">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2F9266A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93" w:type="dxa"/>
            <w:shd w:val="clear" w:color="auto" w:fill="auto"/>
            <w:vAlign w:val="center"/>
          </w:tcPr>
          <w:p w14:paraId="1E7A1BD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22" w:type="dxa"/>
            <w:shd w:val="clear" w:color="auto" w:fill="auto"/>
            <w:vAlign w:val="center"/>
          </w:tcPr>
          <w:p w14:paraId="4D8BFAC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0E1F6F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57" w:type="dxa"/>
            <w:shd w:val="clear" w:color="auto" w:fill="auto"/>
            <w:vAlign w:val="center"/>
          </w:tcPr>
          <w:p w14:paraId="66F983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79" w:type="dxa"/>
            <w:shd w:val="clear" w:color="auto" w:fill="auto"/>
            <w:vAlign w:val="center"/>
          </w:tcPr>
          <w:p w14:paraId="0D3CFA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6" w:type="dxa"/>
            <w:shd w:val="clear" w:color="auto" w:fill="auto"/>
            <w:vAlign w:val="center"/>
          </w:tcPr>
          <w:p w14:paraId="777365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E0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4" w:type="dxa"/>
            <w:vMerge w:val="continue"/>
            <w:vAlign w:val="center"/>
          </w:tcPr>
          <w:p w14:paraId="06BCA4DF">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0E0DAAE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93" w:type="dxa"/>
            <w:shd w:val="clear" w:color="auto" w:fill="auto"/>
            <w:vAlign w:val="center"/>
          </w:tcPr>
          <w:p w14:paraId="3D62E4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116.52</w:t>
            </w:r>
          </w:p>
        </w:tc>
        <w:tc>
          <w:tcPr>
            <w:tcW w:w="1122" w:type="dxa"/>
            <w:shd w:val="clear" w:color="auto" w:fill="auto"/>
            <w:vAlign w:val="center"/>
          </w:tcPr>
          <w:p w14:paraId="15D7331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118.24</w:t>
            </w:r>
          </w:p>
        </w:tc>
        <w:tc>
          <w:tcPr>
            <w:tcW w:w="1134" w:type="dxa"/>
            <w:shd w:val="clear" w:color="auto" w:fill="auto"/>
            <w:vAlign w:val="center"/>
          </w:tcPr>
          <w:p w14:paraId="7BCEBB8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118.24</w:t>
            </w:r>
          </w:p>
        </w:tc>
        <w:tc>
          <w:tcPr>
            <w:tcW w:w="657" w:type="dxa"/>
            <w:shd w:val="clear" w:color="auto" w:fill="auto"/>
            <w:vAlign w:val="center"/>
          </w:tcPr>
          <w:p w14:paraId="44FE59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79" w:type="dxa"/>
            <w:shd w:val="clear" w:color="auto" w:fill="auto"/>
            <w:vAlign w:val="center"/>
          </w:tcPr>
          <w:p w14:paraId="6CBB99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6" w:type="dxa"/>
            <w:shd w:val="clear" w:color="auto" w:fill="auto"/>
            <w:vAlign w:val="center"/>
          </w:tcPr>
          <w:p w14:paraId="73F5F6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BF6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4" w:type="dxa"/>
            <w:vMerge w:val="continue"/>
            <w:vAlign w:val="center"/>
          </w:tcPr>
          <w:p w14:paraId="6DAE33AD">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4F016A1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93" w:type="dxa"/>
            <w:shd w:val="clear" w:color="auto" w:fill="auto"/>
            <w:vAlign w:val="center"/>
          </w:tcPr>
          <w:p w14:paraId="044F99C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22" w:type="dxa"/>
            <w:shd w:val="clear" w:color="auto" w:fill="auto"/>
            <w:vAlign w:val="center"/>
          </w:tcPr>
          <w:p w14:paraId="7CCA00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6C7CD0A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57" w:type="dxa"/>
            <w:shd w:val="clear" w:color="auto" w:fill="auto"/>
            <w:vAlign w:val="center"/>
          </w:tcPr>
          <w:p w14:paraId="0B5E04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79" w:type="dxa"/>
            <w:shd w:val="clear" w:color="auto" w:fill="auto"/>
            <w:vAlign w:val="center"/>
          </w:tcPr>
          <w:p w14:paraId="30E7BD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6" w:type="dxa"/>
            <w:shd w:val="clear" w:color="auto" w:fill="auto"/>
            <w:vAlign w:val="center"/>
          </w:tcPr>
          <w:p w14:paraId="4550E8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A0F4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4" w:type="dxa"/>
            <w:vMerge w:val="continue"/>
            <w:vAlign w:val="center"/>
          </w:tcPr>
          <w:p w14:paraId="3B2DD6E8">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689A61A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93" w:type="dxa"/>
            <w:shd w:val="clear" w:color="auto" w:fill="auto"/>
            <w:vAlign w:val="center"/>
          </w:tcPr>
          <w:p w14:paraId="05A1995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116.52</w:t>
            </w:r>
          </w:p>
        </w:tc>
        <w:tc>
          <w:tcPr>
            <w:tcW w:w="1122" w:type="dxa"/>
            <w:shd w:val="clear" w:color="auto" w:fill="auto"/>
            <w:vAlign w:val="center"/>
          </w:tcPr>
          <w:p w14:paraId="238560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118.24</w:t>
            </w:r>
          </w:p>
        </w:tc>
        <w:tc>
          <w:tcPr>
            <w:tcW w:w="1134" w:type="dxa"/>
            <w:shd w:val="clear" w:color="auto" w:fill="auto"/>
            <w:vAlign w:val="center"/>
          </w:tcPr>
          <w:p w14:paraId="4EC56F3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118.24</w:t>
            </w:r>
          </w:p>
        </w:tc>
        <w:tc>
          <w:tcPr>
            <w:tcW w:w="657" w:type="dxa"/>
            <w:shd w:val="clear" w:color="auto" w:fill="auto"/>
            <w:vAlign w:val="center"/>
          </w:tcPr>
          <w:p w14:paraId="07483E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79" w:type="dxa"/>
            <w:shd w:val="clear" w:color="auto" w:fill="auto"/>
            <w:vAlign w:val="center"/>
          </w:tcPr>
          <w:p w14:paraId="798B58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6" w:type="dxa"/>
            <w:shd w:val="clear" w:color="auto" w:fill="auto"/>
            <w:vAlign w:val="center"/>
          </w:tcPr>
          <w:p w14:paraId="71D9C2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665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54" w:type="dxa"/>
            <w:vMerge w:val="restart"/>
            <w:shd w:val="clear" w:color="auto" w:fill="auto"/>
            <w:vAlign w:val="center"/>
          </w:tcPr>
          <w:p w14:paraId="477D28E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282" w:type="dxa"/>
            <w:gridSpan w:val="3"/>
            <w:shd w:val="clear" w:color="auto" w:fill="auto"/>
            <w:noWrap/>
            <w:vAlign w:val="center"/>
          </w:tcPr>
          <w:p w14:paraId="27971CC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586" w:type="dxa"/>
            <w:gridSpan w:val="4"/>
            <w:shd w:val="clear" w:color="auto" w:fill="auto"/>
            <w:noWrap/>
            <w:vAlign w:val="center"/>
          </w:tcPr>
          <w:p w14:paraId="6B36F51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418D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54" w:type="dxa"/>
            <w:vMerge w:val="continue"/>
            <w:vAlign w:val="center"/>
          </w:tcPr>
          <w:p w14:paraId="753308DB">
            <w:pPr>
              <w:widowControl/>
              <w:jc w:val="left"/>
              <w:rPr>
                <w:rFonts w:hint="eastAsia" w:cs="宋体" w:asciiTheme="minorEastAsia" w:hAnsiTheme="minorEastAsia" w:eastAsiaTheme="minorEastAsia"/>
                <w:bCs/>
                <w:kern w:val="0"/>
                <w:sz w:val="20"/>
                <w:szCs w:val="20"/>
              </w:rPr>
            </w:pPr>
          </w:p>
        </w:tc>
        <w:tc>
          <w:tcPr>
            <w:tcW w:w="3282" w:type="dxa"/>
            <w:gridSpan w:val="3"/>
            <w:shd w:val="clear" w:color="auto" w:fill="auto"/>
            <w:vAlign w:val="center"/>
          </w:tcPr>
          <w:p w14:paraId="41E7BD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目标一：保障办公人员数量6人，单位正常运转；</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目标二：聚焦主业主责，指导相关部门、单位做好部门志、行业志、乡镇志的编纂工作，挖掘我县年度工作特色亮点，高质量完成《木垒年鉴（2022）》编纂出版和发行工作。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目标三：积极配合县委相关部门开展党史宣传教育工作。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目标四：按上级业务部门要求，按时报送《新疆年鉴</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t>昌吉年鉴》相关资料。</w:t>
            </w:r>
          </w:p>
        </w:tc>
        <w:tc>
          <w:tcPr>
            <w:tcW w:w="4586" w:type="dxa"/>
            <w:gridSpan w:val="4"/>
            <w:shd w:val="clear" w:color="auto" w:fill="auto"/>
            <w:vAlign w:val="center"/>
          </w:tcPr>
          <w:p w14:paraId="726C58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实际完成目标：</w:t>
            </w:r>
            <w:r>
              <w:rPr>
                <w:rFonts w:hint="eastAsia" w:cs="宋体" w:asciiTheme="minorEastAsia" w:hAnsiTheme="minorEastAsia" w:eastAsiaTheme="minorEastAsia"/>
                <w:kern w:val="0"/>
                <w:sz w:val="20"/>
                <w:szCs w:val="20"/>
                <w:lang w:eastAsia="zh-CN"/>
              </w:rPr>
              <w:t>截至2023年</w:t>
            </w:r>
            <w:r>
              <w:rPr>
                <w:rFonts w:hint="eastAsia" w:cs="宋体" w:asciiTheme="minorEastAsia" w:hAnsiTheme="minorEastAsia" w:eastAsiaTheme="minorEastAsia"/>
                <w:kern w:val="0"/>
                <w:sz w:val="20"/>
                <w:szCs w:val="20"/>
              </w:rPr>
              <w:t>12月31日，本单位已完成党史业务培训1次，地方志印刷册数200册，《木垒年鉴2016》印刷数量200册，搜集，保存地方志文献和资料完整率达到98%，持续保护地方历史存史资政，教育后人，进行党史宣传。</w:t>
            </w:r>
          </w:p>
        </w:tc>
      </w:tr>
      <w:tr w14:paraId="4A06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54" w:type="dxa"/>
            <w:shd w:val="clear" w:color="auto" w:fill="auto"/>
            <w:vAlign w:val="center"/>
          </w:tcPr>
          <w:p w14:paraId="7A7F437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67" w:type="dxa"/>
            <w:shd w:val="clear" w:color="auto" w:fill="auto"/>
            <w:vAlign w:val="center"/>
          </w:tcPr>
          <w:p w14:paraId="7F4D115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93" w:type="dxa"/>
            <w:shd w:val="clear" w:color="auto" w:fill="auto"/>
            <w:vAlign w:val="center"/>
          </w:tcPr>
          <w:p w14:paraId="4A9F050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122" w:type="dxa"/>
            <w:shd w:val="clear" w:color="auto" w:fill="auto"/>
            <w:vAlign w:val="center"/>
          </w:tcPr>
          <w:p w14:paraId="5191CAD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34" w:type="dxa"/>
            <w:shd w:val="clear" w:color="auto" w:fill="auto"/>
            <w:vAlign w:val="center"/>
          </w:tcPr>
          <w:p w14:paraId="611EA0D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657" w:type="dxa"/>
            <w:shd w:val="clear" w:color="auto" w:fill="auto"/>
            <w:vAlign w:val="center"/>
          </w:tcPr>
          <w:p w14:paraId="6F0E68E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79" w:type="dxa"/>
            <w:shd w:val="clear" w:color="auto" w:fill="auto"/>
            <w:vAlign w:val="center"/>
          </w:tcPr>
          <w:p w14:paraId="16DB09E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616" w:type="dxa"/>
            <w:shd w:val="clear" w:color="auto" w:fill="auto"/>
            <w:vAlign w:val="center"/>
          </w:tcPr>
          <w:p w14:paraId="6C17042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0B13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4" w:type="dxa"/>
            <w:shd w:val="clear" w:color="auto" w:fill="auto"/>
            <w:vAlign w:val="center"/>
          </w:tcPr>
          <w:p w14:paraId="73D5C8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67" w:type="dxa"/>
            <w:vMerge w:val="restart"/>
            <w:shd w:val="clear" w:color="auto" w:fill="auto"/>
            <w:vAlign w:val="center"/>
          </w:tcPr>
          <w:p w14:paraId="6B8347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3" w:type="dxa"/>
            <w:shd w:val="clear" w:color="auto" w:fill="auto"/>
            <w:vAlign w:val="center"/>
          </w:tcPr>
          <w:p w14:paraId="265B5D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22" w:type="dxa"/>
            <w:shd w:val="clear" w:color="auto" w:fill="auto"/>
            <w:vAlign w:val="center"/>
          </w:tcPr>
          <w:p w14:paraId="1A2A93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&gt;=6人</w:t>
            </w:r>
          </w:p>
        </w:tc>
        <w:tc>
          <w:tcPr>
            <w:tcW w:w="1134" w:type="dxa"/>
            <w:shd w:val="clear" w:color="auto" w:fill="auto"/>
            <w:vAlign w:val="center"/>
          </w:tcPr>
          <w:p w14:paraId="6E63FC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中共木垒县委员会机构编制委员会办公室关于印发《中共木垒哈萨克自治县委员会党史研究室暨地方志办公室分类改革方案》的通知</w:t>
            </w:r>
          </w:p>
        </w:tc>
        <w:tc>
          <w:tcPr>
            <w:tcW w:w="657" w:type="dxa"/>
            <w:shd w:val="clear" w:color="auto" w:fill="auto"/>
            <w:vAlign w:val="center"/>
          </w:tcPr>
          <w:p w14:paraId="0CEDB4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79" w:type="dxa"/>
            <w:shd w:val="clear" w:color="auto" w:fill="auto"/>
            <w:vAlign w:val="center"/>
          </w:tcPr>
          <w:p w14:paraId="1641DB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7人</w:t>
            </w:r>
          </w:p>
        </w:tc>
        <w:tc>
          <w:tcPr>
            <w:tcW w:w="1616" w:type="dxa"/>
            <w:shd w:val="clear" w:color="auto" w:fill="auto"/>
            <w:vAlign w:val="center"/>
          </w:tcPr>
          <w:p w14:paraId="779E32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86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4" w:type="dxa"/>
            <w:vMerge w:val="restart"/>
            <w:shd w:val="clear" w:color="auto" w:fill="auto"/>
            <w:vAlign w:val="center"/>
          </w:tcPr>
          <w:p w14:paraId="78A4B6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67" w:type="dxa"/>
            <w:vMerge w:val="continue"/>
            <w:vAlign w:val="center"/>
          </w:tcPr>
          <w:p w14:paraId="620854B0">
            <w:pPr>
              <w:widowControl/>
              <w:jc w:val="left"/>
              <w:rPr>
                <w:rFonts w:hint="eastAsia" w:cs="宋体" w:asciiTheme="minorEastAsia" w:hAnsiTheme="minorEastAsia" w:eastAsiaTheme="minorEastAsia"/>
                <w:kern w:val="0"/>
                <w:sz w:val="20"/>
                <w:szCs w:val="20"/>
              </w:rPr>
            </w:pPr>
          </w:p>
        </w:tc>
        <w:tc>
          <w:tcPr>
            <w:tcW w:w="1293" w:type="dxa"/>
            <w:shd w:val="clear" w:color="auto" w:fill="auto"/>
            <w:vAlign w:val="center"/>
          </w:tcPr>
          <w:p w14:paraId="74A5CF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党史业务培训</w:t>
            </w:r>
          </w:p>
        </w:tc>
        <w:tc>
          <w:tcPr>
            <w:tcW w:w="1122" w:type="dxa"/>
            <w:shd w:val="clear" w:color="auto" w:fill="auto"/>
            <w:vAlign w:val="center"/>
          </w:tcPr>
          <w:p w14:paraId="1814AE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134" w:type="dxa"/>
            <w:shd w:val="clear" w:color="auto" w:fill="auto"/>
            <w:vAlign w:val="center"/>
          </w:tcPr>
          <w:p w14:paraId="6C7517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中共木垒哈萨克自治县委员会党史和文献研究室2023年工作计划</w:t>
            </w:r>
          </w:p>
        </w:tc>
        <w:tc>
          <w:tcPr>
            <w:tcW w:w="657" w:type="dxa"/>
            <w:shd w:val="clear" w:color="auto" w:fill="auto"/>
            <w:vAlign w:val="center"/>
          </w:tcPr>
          <w:p w14:paraId="631218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79" w:type="dxa"/>
            <w:shd w:val="clear" w:color="auto" w:fill="auto"/>
            <w:vAlign w:val="center"/>
          </w:tcPr>
          <w:p w14:paraId="4832AE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1616" w:type="dxa"/>
            <w:shd w:val="clear" w:color="auto" w:fill="auto"/>
            <w:vAlign w:val="center"/>
          </w:tcPr>
          <w:p w14:paraId="5B50D8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D13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4" w:type="dxa"/>
            <w:vMerge w:val="continue"/>
            <w:vAlign w:val="center"/>
          </w:tcPr>
          <w:p w14:paraId="1D71B7CE">
            <w:pPr>
              <w:widowControl/>
              <w:jc w:val="left"/>
              <w:rPr>
                <w:rFonts w:hint="eastAsia" w:cs="宋体" w:asciiTheme="minorEastAsia" w:hAnsiTheme="minorEastAsia" w:eastAsiaTheme="minorEastAsia"/>
                <w:kern w:val="0"/>
                <w:sz w:val="20"/>
                <w:szCs w:val="20"/>
              </w:rPr>
            </w:pPr>
          </w:p>
        </w:tc>
        <w:tc>
          <w:tcPr>
            <w:tcW w:w="867" w:type="dxa"/>
            <w:shd w:val="clear" w:color="auto" w:fill="auto"/>
            <w:vAlign w:val="center"/>
          </w:tcPr>
          <w:p w14:paraId="2EA50D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93" w:type="dxa"/>
            <w:shd w:val="clear" w:color="auto" w:fill="auto"/>
            <w:vAlign w:val="center"/>
          </w:tcPr>
          <w:p w14:paraId="0D1386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搜集、保存地方志文献和资料完整率</w:t>
            </w:r>
          </w:p>
        </w:tc>
        <w:tc>
          <w:tcPr>
            <w:tcW w:w="1122" w:type="dxa"/>
            <w:shd w:val="clear" w:color="auto" w:fill="auto"/>
            <w:vAlign w:val="center"/>
          </w:tcPr>
          <w:p w14:paraId="41235F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34" w:type="dxa"/>
            <w:shd w:val="clear" w:color="auto" w:fill="auto"/>
            <w:vAlign w:val="center"/>
          </w:tcPr>
          <w:p w14:paraId="051F7F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中共木垒哈萨克自治县委员会党史和文献研究室2023年工作计划</w:t>
            </w:r>
          </w:p>
        </w:tc>
        <w:tc>
          <w:tcPr>
            <w:tcW w:w="657" w:type="dxa"/>
            <w:shd w:val="clear" w:color="auto" w:fill="auto"/>
            <w:vAlign w:val="center"/>
          </w:tcPr>
          <w:p w14:paraId="247617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79" w:type="dxa"/>
            <w:shd w:val="clear" w:color="auto" w:fill="auto"/>
            <w:vAlign w:val="center"/>
          </w:tcPr>
          <w:p w14:paraId="61821F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616" w:type="dxa"/>
            <w:shd w:val="clear" w:color="auto" w:fill="auto"/>
            <w:vAlign w:val="center"/>
          </w:tcPr>
          <w:p w14:paraId="57F856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24B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4" w:type="dxa"/>
            <w:vMerge w:val="restart"/>
            <w:shd w:val="clear" w:color="auto" w:fill="auto"/>
            <w:vAlign w:val="center"/>
          </w:tcPr>
          <w:p w14:paraId="1ACAD2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67" w:type="dxa"/>
            <w:shd w:val="clear" w:color="auto" w:fill="auto"/>
            <w:vAlign w:val="center"/>
          </w:tcPr>
          <w:p w14:paraId="71EBB8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3" w:type="dxa"/>
            <w:shd w:val="clear" w:color="auto" w:fill="auto"/>
            <w:vAlign w:val="center"/>
          </w:tcPr>
          <w:p w14:paraId="7B1658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完成《木垒年鉴（2022）》编纂数量</w:t>
            </w:r>
          </w:p>
        </w:tc>
        <w:tc>
          <w:tcPr>
            <w:tcW w:w="1122" w:type="dxa"/>
            <w:shd w:val="clear" w:color="auto" w:fill="auto"/>
            <w:vAlign w:val="center"/>
          </w:tcPr>
          <w:p w14:paraId="2350A4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1134" w:type="dxa"/>
            <w:shd w:val="clear" w:color="auto" w:fill="auto"/>
            <w:vAlign w:val="center"/>
          </w:tcPr>
          <w:p w14:paraId="67C34C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中共木垒哈萨克自治县委员会党史和文献研究室2023年工作计划</w:t>
            </w:r>
          </w:p>
        </w:tc>
        <w:tc>
          <w:tcPr>
            <w:tcW w:w="657" w:type="dxa"/>
            <w:shd w:val="clear" w:color="auto" w:fill="auto"/>
            <w:vAlign w:val="center"/>
          </w:tcPr>
          <w:p w14:paraId="4A5391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1179" w:type="dxa"/>
            <w:shd w:val="clear" w:color="auto" w:fill="auto"/>
            <w:vAlign w:val="center"/>
          </w:tcPr>
          <w:p w14:paraId="02FDC4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1616" w:type="dxa"/>
            <w:shd w:val="clear" w:color="auto" w:fill="auto"/>
            <w:vAlign w:val="center"/>
          </w:tcPr>
          <w:p w14:paraId="5C79A8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046C4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4" w:type="dxa"/>
            <w:vMerge w:val="continue"/>
            <w:vAlign w:val="center"/>
          </w:tcPr>
          <w:p w14:paraId="63C68C78">
            <w:pPr>
              <w:widowControl/>
              <w:jc w:val="left"/>
              <w:rPr>
                <w:rFonts w:hint="eastAsia" w:cs="宋体" w:asciiTheme="minorEastAsia" w:hAnsiTheme="minorEastAsia" w:eastAsiaTheme="minorEastAsia"/>
                <w:kern w:val="0"/>
                <w:sz w:val="20"/>
                <w:szCs w:val="20"/>
              </w:rPr>
            </w:pPr>
          </w:p>
        </w:tc>
        <w:tc>
          <w:tcPr>
            <w:tcW w:w="867" w:type="dxa"/>
            <w:vMerge w:val="restart"/>
            <w:shd w:val="clear" w:color="auto" w:fill="auto"/>
            <w:vAlign w:val="center"/>
          </w:tcPr>
          <w:p w14:paraId="5307D0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93" w:type="dxa"/>
            <w:shd w:val="clear" w:color="auto" w:fill="auto"/>
            <w:vAlign w:val="center"/>
          </w:tcPr>
          <w:p w14:paraId="6DC66C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《新疆年鉴</w:t>
            </w:r>
            <w:r>
              <w:rPr>
                <w:rFonts w:hint="eastAsia" w:cs="宋体" w:asciiTheme="minorEastAsia" w:hAnsiTheme="minorEastAsia" w:eastAsiaTheme="minorEastAsia"/>
                <w:kern w:val="0"/>
                <w:sz w:val="20"/>
                <w:szCs w:val="20"/>
                <w:lang w:eastAsia="zh-CN"/>
              </w:rPr>
              <w:t>》《</w:t>
            </w:r>
            <w:r>
              <w:rPr>
                <w:rFonts w:hint="eastAsia" w:cs="宋体" w:asciiTheme="minorEastAsia" w:hAnsiTheme="minorEastAsia" w:eastAsiaTheme="minorEastAsia"/>
                <w:kern w:val="0"/>
                <w:sz w:val="20"/>
                <w:szCs w:val="20"/>
              </w:rPr>
              <w:t>昌吉年鉴》报送及时率</w:t>
            </w:r>
          </w:p>
        </w:tc>
        <w:tc>
          <w:tcPr>
            <w:tcW w:w="1122" w:type="dxa"/>
            <w:shd w:val="clear" w:color="auto" w:fill="auto"/>
            <w:vAlign w:val="center"/>
          </w:tcPr>
          <w:p w14:paraId="702DFD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34" w:type="dxa"/>
            <w:shd w:val="clear" w:color="auto" w:fill="auto"/>
            <w:vAlign w:val="center"/>
          </w:tcPr>
          <w:p w14:paraId="2F5B8D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中共木垒哈萨克自治县委员会党史和文献研究室2023年工作计划</w:t>
            </w:r>
          </w:p>
        </w:tc>
        <w:tc>
          <w:tcPr>
            <w:tcW w:w="657" w:type="dxa"/>
            <w:shd w:val="clear" w:color="auto" w:fill="auto"/>
            <w:vAlign w:val="center"/>
          </w:tcPr>
          <w:p w14:paraId="665DA9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79" w:type="dxa"/>
            <w:shd w:val="clear" w:color="auto" w:fill="auto"/>
            <w:vAlign w:val="center"/>
          </w:tcPr>
          <w:p w14:paraId="322B55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616" w:type="dxa"/>
            <w:shd w:val="clear" w:color="auto" w:fill="auto"/>
            <w:vAlign w:val="center"/>
          </w:tcPr>
          <w:p w14:paraId="436E95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68A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4" w:type="dxa"/>
            <w:shd w:val="clear" w:color="auto" w:fill="auto"/>
            <w:vAlign w:val="center"/>
          </w:tcPr>
          <w:p w14:paraId="480683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67" w:type="dxa"/>
            <w:vMerge w:val="continue"/>
            <w:vAlign w:val="center"/>
          </w:tcPr>
          <w:p w14:paraId="3CF85189">
            <w:pPr>
              <w:widowControl/>
              <w:jc w:val="left"/>
              <w:rPr>
                <w:rFonts w:hint="eastAsia" w:cs="宋体" w:asciiTheme="minorEastAsia" w:hAnsiTheme="minorEastAsia" w:eastAsiaTheme="minorEastAsia"/>
                <w:kern w:val="0"/>
                <w:sz w:val="20"/>
                <w:szCs w:val="20"/>
              </w:rPr>
            </w:pPr>
          </w:p>
        </w:tc>
        <w:tc>
          <w:tcPr>
            <w:tcW w:w="1293" w:type="dxa"/>
            <w:shd w:val="clear" w:color="auto" w:fill="auto"/>
            <w:vAlign w:val="center"/>
          </w:tcPr>
          <w:p w14:paraId="1D5CBB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加强党史存史资政育人作用</w:t>
            </w:r>
          </w:p>
        </w:tc>
        <w:tc>
          <w:tcPr>
            <w:tcW w:w="1122" w:type="dxa"/>
            <w:shd w:val="clear" w:color="auto" w:fill="auto"/>
            <w:vAlign w:val="center"/>
          </w:tcPr>
          <w:p w14:paraId="09A068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&gt;=1年</w:t>
            </w:r>
          </w:p>
        </w:tc>
        <w:tc>
          <w:tcPr>
            <w:tcW w:w="1134" w:type="dxa"/>
            <w:shd w:val="clear" w:color="auto" w:fill="auto"/>
            <w:vAlign w:val="center"/>
          </w:tcPr>
          <w:p w14:paraId="69DC88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中共木垒哈萨克自治县委员会党史和文献研究室2023年工作计划</w:t>
            </w:r>
          </w:p>
        </w:tc>
        <w:tc>
          <w:tcPr>
            <w:tcW w:w="657" w:type="dxa"/>
            <w:shd w:val="clear" w:color="auto" w:fill="auto"/>
            <w:vAlign w:val="center"/>
          </w:tcPr>
          <w:p w14:paraId="4C74D1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79" w:type="dxa"/>
            <w:shd w:val="clear" w:color="auto" w:fill="auto"/>
            <w:vAlign w:val="center"/>
          </w:tcPr>
          <w:p w14:paraId="38A76D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1年</w:t>
            </w:r>
          </w:p>
        </w:tc>
        <w:tc>
          <w:tcPr>
            <w:tcW w:w="1616" w:type="dxa"/>
            <w:shd w:val="clear" w:color="auto" w:fill="auto"/>
            <w:vAlign w:val="center"/>
          </w:tcPr>
          <w:p w14:paraId="0A2C74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36B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4" w:type="dxa"/>
            <w:shd w:val="clear" w:color="auto" w:fill="auto"/>
            <w:noWrap/>
            <w:vAlign w:val="center"/>
          </w:tcPr>
          <w:p w14:paraId="6300656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67" w:type="dxa"/>
            <w:shd w:val="clear" w:color="auto" w:fill="auto"/>
            <w:noWrap/>
            <w:vAlign w:val="center"/>
          </w:tcPr>
          <w:p w14:paraId="213FEB1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93" w:type="dxa"/>
            <w:shd w:val="clear" w:color="auto" w:fill="auto"/>
            <w:noWrap/>
            <w:vAlign w:val="center"/>
          </w:tcPr>
          <w:p w14:paraId="2C2A27F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党史宣传数量</w:t>
            </w:r>
          </w:p>
        </w:tc>
        <w:tc>
          <w:tcPr>
            <w:tcW w:w="1122" w:type="dxa"/>
            <w:shd w:val="clear" w:color="auto" w:fill="auto"/>
            <w:noWrap/>
            <w:vAlign w:val="center"/>
          </w:tcPr>
          <w:p w14:paraId="684D314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&gt;=2次</w:t>
            </w:r>
          </w:p>
        </w:tc>
        <w:tc>
          <w:tcPr>
            <w:tcW w:w="1134" w:type="dxa"/>
            <w:shd w:val="clear" w:color="auto" w:fill="auto"/>
            <w:noWrap/>
            <w:vAlign w:val="center"/>
          </w:tcPr>
          <w:p w14:paraId="74689A9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中共木垒哈萨克自治县委员会党史和文献研究室2023年工作计划</w:t>
            </w:r>
          </w:p>
        </w:tc>
        <w:tc>
          <w:tcPr>
            <w:tcW w:w="657" w:type="dxa"/>
            <w:shd w:val="clear" w:color="auto" w:fill="auto"/>
            <w:noWrap/>
            <w:vAlign w:val="center"/>
          </w:tcPr>
          <w:p w14:paraId="6BFF108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79" w:type="dxa"/>
            <w:shd w:val="clear" w:color="auto" w:fill="auto"/>
            <w:noWrap/>
            <w:vAlign w:val="center"/>
          </w:tcPr>
          <w:p w14:paraId="332A197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1616" w:type="dxa"/>
            <w:shd w:val="clear" w:color="auto" w:fill="auto"/>
            <w:noWrap/>
            <w:vAlign w:val="center"/>
          </w:tcPr>
          <w:p w14:paraId="7120690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023AB93B">
      <w:pPr>
        <w:ind w:firstLine="640" w:firstLineChars="200"/>
        <w:jc w:val="left"/>
        <w:rPr>
          <w:rFonts w:hint="eastAsia" w:ascii="仿宋_GB2312" w:hAnsi="仿宋_GB2312" w:eastAsia="仿宋_GB2312" w:cs="仿宋_GB2312"/>
          <w:kern w:val="0"/>
          <w:sz w:val="32"/>
          <w:szCs w:val="32"/>
          <w:lang w:eastAsia="zh-Hans"/>
        </w:rPr>
      </w:pPr>
    </w:p>
    <w:p w14:paraId="21E0CB0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7D88C2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万元。其中授予中小企业合同金额、授予小微企业合同金额为0</w:t>
      </w:r>
      <w:r>
        <w:rPr>
          <w:rFonts w:ascii="仿宋_GB2312" w:hAnsi="仿宋_GB2312" w:eastAsia="仿宋_GB2312" w:cs="仿宋_GB2312"/>
          <w:kern w:val="0"/>
          <w:sz w:val="32"/>
          <w:szCs w:val="32"/>
        </w:rPr>
        <w:t>.00</w:t>
      </w:r>
      <w:r>
        <w:rPr>
          <w:rFonts w:hint="eastAsia" w:ascii="仿宋_GB2312" w:hAnsi="仿宋_GB2312" w:eastAsia="仿宋_GB2312" w:cs="仿宋_GB2312"/>
          <w:kern w:val="0"/>
          <w:sz w:val="32"/>
          <w:szCs w:val="32"/>
        </w:rPr>
        <w:t>万元。</w:t>
      </w:r>
    </w:p>
    <w:p w14:paraId="59868EA3">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A1AD9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31539F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05D98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1A1732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9CB07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CE8577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86FF75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A70F50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7637A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44227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902D7F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D24C86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729A40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86CE2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59F82B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3656F95">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5767235">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1C08353F">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01EF6B23">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8EDC87F">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531A57A">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4CA6150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1A81BA56">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DD6345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DA27879">
      <w:pPr>
        <w:ind w:firstLine="640" w:firstLineChars="200"/>
        <w:rPr>
          <w:rFonts w:ascii="仿宋_GB2312" w:eastAsia="仿宋_GB2312"/>
          <w:sz w:val="32"/>
          <w:szCs w:val="32"/>
        </w:rPr>
      </w:pPr>
    </w:p>
    <w:p w14:paraId="7CF47A78">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FDD3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5629E">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2E5629E">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828B5"/>
    <w:rsid w:val="00105CB2"/>
    <w:rsid w:val="00201291"/>
    <w:rsid w:val="00213C59"/>
    <w:rsid w:val="00254F84"/>
    <w:rsid w:val="002C72FD"/>
    <w:rsid w:val="003210CE"/>
    <w:rsid w:val="003D21C4"/>
    <w:rsid w:val="004015A8"/>
    <w:rsid w:val="004C0E29"/>
    <w:rsid w:val="005141E1"/>
    <w:rsid w:val="005906ED"/>
    <w:rsid w:val="0066550C"/>
    <w:rsid w:val="006D7C67"/>
    <w:rsid w:val="0071188D"/>
    <w:rsid w:val="00723113"/>
    <w:rsid w:val="00760CEE"/>
    <w:rsid w:val="00761EEB"/>
    <w:rsid w:val="007A20A1"/>
    <w:rsid w:val="008828B5"/>
    <w:rsid w:val="008869D0"/>
    <w:rsid w:val="00887AF4"/>
    <w:rsid w:val="00913E16"/>
    <w:rsid w:val="009A594D"/>
    <w:rsid w:val="00A23826"/>
    <w:rsid w:val="00A36247"/>
    <w:rsid w:val="00A83EAA"/>
    <w:rsid w:val="00AD7C59"/>
    <w:rsid w:val="00B70D59"/>
    <w:rsid w:val="00B72AD4"/>
    <w:rsid w:val="00C8655B"/>
    <w:rsid w:val="00CA5E0E"/>
    <w:rsid w:val="00D53D39"/>
    <w:rsid w:val="00D74B8B"/>
    <w:rsid w:val="00D85DB2"/>
    <w:rsid w:val="00DD72B6"/>
    <w:rsid w:val="00EB5A13"/>
    <w:rsid w:val="00F52A8D"/>
    <w:rsid w:val="00FD6B7B"/>
    <w:rsid w:val="00FF2A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1157AF"/>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6074</Words>
  <Characters>6782</Characters>
  <Lines>55</Lines>
  <Paragraphs>15</Paragraphs>
  <TotalTime>3</TotalTime>
  <ScaleCrop>false</ScaleCrop>
  <LinksUpToDate>false</LinksUpToDate>
  <CharactersWithSpaces>6793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2024-12-05T09:49:58Z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